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5" w:rsidRPr="002B550F" w:rsidRDefault="00F00A75" w:rsidP="00E54172">
      <w:pPr>
        <w:rPr>
          <w:sz w:val="22"/>
          <w:szCs w:val="22"/>
        </w:rPr>
      </w:pPr>
    </w:p>
    <w:p w:rsidR="00D30266" w:rsidRPr="002B550F" w:rsidRDefault="00D30266" w:rsidP="009C45C0">
      <w:pPr>
        <w:jc w:val="center"/>
        <w:rPr>
          <w:sz w:val="22"/>
          <w:szCs w:val="22"/>
        </w:rPr>
      </w:pPr>
    </w:p>
    <w:p w:rsidR="00D30266" w:rsidRPr="002B550F" w:rsidRDefault="00D30266" w:rsidP="00A3009B">
      <w:pPr>
        <w:rPr>
          <w:sz w:val="22"/>
          <w:szCs w:val="22"/>
        </w:rPr>
      </w:pPr>
    </w:p>
    <w:p w:rsidR="009C45C0" w:rsidRPr="00C31230" w:rsidRDefault="009C45C0" w:rsidP="009C45C0">
      <w:pPr>
        <w:jc w:val="center"/>
        <w:rPr>
          <w:b/>
          <w:sz w:val="22"/>
          <w:szCs w:val="22"/>
        </w:rPr>
      </w:pPr>
      <w:r w:rsidRPr="00C34CAF">
        <w:rPr>
          <w:b/>
          <w:sz w:val="22"/>
          <w:szCs w:val="22"/>
        </w:rPr>
        <w:t xml:space="preserve">ОБАВЕШТЕЊЕ О </w:t>
      </w:r>
      <w:r w:rsidR="00C31230">
        <w:rPr>
          <w:b/>
          <w:sz w:val="22"/>
          <w:szCs w:val="22"/>
        </w:rPr>
        <w:t xml:space="preserve">ПРОДУЖЕЊУ РОКА ЗА ПОДНОШЕЊЕ ПОНУДА </w:t>
      </w:r>
    </w:p>
    <w:p w:rsidR="00CB773E" w:rsidRPr="00961A23" w:rsidRDefault="00F2299C" w:rsidP="009C45C0">
      <w:pPr>
        <w:jc w:val="center"/>
        <w:rPr>
          <w:sz w:val="22"/>
          <w:szCs w:val="22"/>
        </w:rPr>
      </w:pPr>
      <w:proofErr w:type="gramStart"/>
      <w:r w:rsidRPr="002B550F">
        <w:rPr>
          <w:sz w:val="22"/>
          <w:szCs w:val="22"/>
        </w:rPr>
        <w:t>у</w:t>
      </w:r>
      <w:proofErr w:type="gramEnd"/>
      <w:r w:rsidRPr="002B550F">
        <w:rPr>
          <w:sz w:val="22"/>
          <w:szCs w:val="22"/>
        </w:rPr>
        <w:t xml:space="preserve"> </w:t>
      </w:r>
      <w:proofErr w:type="spellStart"/>
      <w:r w:rsidRPr="002B550F">
        <w:rPr>
          <w:sz w:val="22"/>
          <w:szCs w:val="22"/>
        </w:rPr>
        <w:t>поступку</w:t>
      </w:r>
      <w:proofErr w:type="spellEnd"/>
      <w:r w:rsidRPr="002B550F">
        <w:rPr>
          <w:sz w:val="22"/>
          <w:szCs w:val="22"/>
        </w:rPr>
        <w:t xml:space="preserve"> </w:t>
      </w:r>
      <w:proofErr w:type="spellStart"/>
      <w:r w:rsidR="00CB773E" w:rsidRPr="002B550F">
        <w:rPr>
          <w:sz w:val="22"/>
          <w:szCs w:val="22"/>
        </w:rPr>
        <w:t>јавне</w:t>
      </w:r>
      <w:proofErr w:type="spellEnd"/>
      <w:r w:rsidR="00CB773E" w:rsidRPr="002B550F">
        <w:rPr>
          <w:sz w:val="22"/>
          <w:szCs w:val="22"/>
        </w:rPr>
        <w:t xml:space="preserve"> </w:t>
      </w:r>
      <w:proofErr w:type="spellStart"/>
      <w:r w:rsidR="00CB773E" w:rsidRPr="002B550F">
        <w:rPr>
          <w:sz w:val="22"/>
          <w:szCs w:val="22"/>
        </w:rPr>
        <w:t>набавке</w:t>
      </w:r>
      <w:proofErr w:type="spellEnd"/>
      <w:r w:rsidR="00FC5BB1" w:rsidRPr="002B550F">
        <w:rPr>
          <w:sz w:val="22"/>
          <w:szCs w:val="22"/>
        </w:rPr>
        <w:t xml:space="preserve"> </w:t>
      </w:r>
      <w:proofErr w:type="spellStart"/>
      <w:r w:rsidR="00CB773E" w:rsidRPr="002B550F">
        <w:rPr>
          <w:sz w:val="22"/>
          <w:szCs w:val="22"/>
        </w:rPr>
        <w:t>број</w:t>
      </w:r>
      <w:proofErr w:type="spellEnd"/>
      <w:r w:rsidR="00CB773E" w:rsidRPr="002B550F">
        <w:rPr>
          <w:sz w:val="22"/>
          <w:szCs w:val="22"/>
        </w:rPr>
        <w:t xml:space="preserve"> </w:t>
      </w:r>
      <w:r w:rsidR="00CE04C3">
        <w:rPr>
          <w:sz w:val="22"/>
          <w:szCs w:val="22"/>
        </w:rPr>
        <w:t>ЈН</w:t>
      </w:r>
      <w:r w:rsidR="00C31230">
        <w:rPr>
          <w:sz w:val="22"/>
          <w:szCs w:val="22"/>
        </w:rPr>
        <w:t>МВ 15/04</w:t>
      </w:r>
      <w:r w:rsidR="00CE04C3">
        <w:rPr>
          <w:sz w:val="22"/>
          <w:szCs w:val="22"/>
        </w:rPr>
        <w:t>-1</w:t>
      </w:r>
      <w:r w:rsidR="00961A23">
        <w:rPr>
          <w:sz w:val="22"/>
          <w:szCs w:val="22"/>
        </w:rPr>
        <w:t>6</w:t>
      </w:r>
    </w:p>
    <w:p w:rsidR="00D30266" w:rsidRDefault="00D30266" w:rsidP="009C45C0">
      <w:pPr>
        <w:jc w:val="center"/>
        <w:rPr>
          <w:sz w:val="22"/>
          <w:szCs w:val="22"/>
        </w:rPr>
      </w:pPr>
    </w:p>
    <w:p w:rsidR="000D1007" w:rsidRPr="00744DC0" w:rsidRDefault="000D1007" w:rsidP="0008529C">
      <w:pPr>
        <w:jc w:val="both"/>
        <w:rPr>
          <w:sz w:val="22"/>
          <w:szCs w:val="22"/>
        </w:rPr>
      </w:pPr>
    </w:p>
    <w:p w:rsidR="00F72C17" w:rsidRPr="002B550F" w:rsidRDefault="00F72C17" w:rsidP="0008529C">
      <w:pPr>
        <w:jc w:val="both"/>
        <w:rPr>
          <w:sz w:val="22"/>
          <w:szCs w:val="22"/>
        </w:rPr>
      </w:pPr>
    </w:p>
    <w:tbl>
      <w:tblPr>
        <w:tblStyle w:val="TableGrid"/>
        <w:tblW w:w="5000" w:type="pct"/>
        <w:tblCellSpacing w:w="11" w:type="dxa"/>
        <w:tblInd w:w="-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9"/>
        <w:gridCol w:w="4671"/>
      </w:tblGrid>
      <w:tr w:rsidR="0008529C" w:rsidRPr="002B550F" w:rsidTr="00A3009B">
        <w:trPr>
          <w:trHeight w:val="324"/>
          <w:tblCellSpacing w:w="11" w:type="dxa"/>
        </w:trPr>
        <w:tc>
          <w:tcPr>
            <w:tcW w:w="2555" w:type="pct"/>
          </w:tcPr>
          <w:p w:rsidR="00C30CBF" w:rsidRPr="00A3009B" w:rsidRDefault="00C31230" w:rsidP="00A3009B">
            <w:pPr>
              <w:tabs>
                <w:tab w:val="left" w:pos="427"/>
              </w:tabs>
              <w:rPr>
                <w:sz w:val="22"/>
                <w:szCs w:val="22"/>
                <w:lang w:val="sr-Cyrl-CS"/>
              </w:rPr>
            </w:pPr>
            <w:r w:rsidRPr="00A3009B">
              <w:rPr>
                <w:sz w:val="22"/>
                <w:szCs w:val="22"/>
                <w:lang w:val="sr-Cyrl-CS"/>
              </w:rPr>
              <w:t>Назив наручиоца</w:t>
            </w:r>
            <w:r w:rsidR="00C30CBF" w:rsidRPr="00A3009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410" w:type="pct"/>
          </w:tcPr>
          <w:p w:rsidR="00C30CBF" w:rsidRPr="00BC0E03" w:rsidRDefault="00C30CBF" w:rsidP="00C31230">
            <w:pPr>
              <w:rPr>
                <w:sz w:val="22"/>
                <w:szCs w:val="22"/>
              </w:rPr>
            </w:pPr>
            <w:proofErr w:type="spellStart"/>
            <w:r w:rsidRPr="002B550F">
              <w:rPr>
                <w:sz w:val="22"/>
                <w:szCs w:val="22"/>
              </w:rPr>
              <w:t>Агенција</w:t>
            </w:r>
            <w:proofErr w:type="spellEnd"/>
            <w:r w:rsidRPr="002B550F">
              <w:rPr>
                <w:sz w:val="22"/>
                <w:szCs w:val="22"/>
              </w:rPr>
              <w:t xml:space="preserve"> </w:t>
            </w:r>
            <w:proofErr w:type="spellStart"/>
            <w:r w:rsidRPr="002B550F">
              <w:rPr>
                <w:sz w:val="22"/>
                <w:szCs w:val="22"/>
              </w:rPr>
              <w:t>за</w:t>
            </w:r>
            <w:proofErr w:type="spellEnd"/>
            <w:r w:rsidRPr="002B550F">
              <w:rPr>
                <w:sz w:val="22"/>
                <w:szCs w:val="22"/>
              </w:rPr>
              <w:t xml:space="preserve"> </w:t>
            </w:r>
            <w:proofErr w:type="spellStart"/>
            <w:r w:rsidRPr="002B550F">
              <w:rPr>
                <w:sz w:val="22"/>
                <w:szCs w:val="22"/>
              </w:rPr>
              <w:t>привредне</w:t>
            </w:r>
            <w:proofErr w:type="spellEnd"/>
            <w:r w:rsidRPr="002B550F">
              <w:rPr>
                <w:sz w:val="22"/>
                <w:szCs w:val="22"/>
              </w:rPr>
              <w:t xml:space="preserve"> </w:t>
            </w:r>
            <w:proofErr w:type="spellStart"/>
            <w:r w:rsidRPr="002B550F">
              <w:rPr>
                <w:sz w:val="22"/>
                <w:szCs w:val="22"/>
              </w:rPr>
              <w:t>регистре</w:t>
            </w:r>
            <w:proofErr w:type="spellEnd"/>
            <w:r w:rsidR="00C31230">
              <w:rPr>
                <w:sz w:val="22"/>
                <w:szCs w:val="22"/>
              </w:rPr>
              <w:t xml:space="preserve"> </w:t>
            </w:r>
          </w:p>
        </w:tc>
      </w:tr>
      <w:tr w:rsidR="00BC0E03" w:rsidRPr="002B550F" w:rsidTr="00A3009B">
        <w:trPr>
          <w:trHeight w:val="255"/>
          <w:tblCellSpacing w:w="11" w:type="dxa"/>
        </w:trPr>
        <w:tc>
          <w:tcPr>
            <w:tcW w:w="2555" w:type="pct"/>
          </w:tcPr>
          <w:p w:rsidR="00BC0E03" w:rsidRPr="00C31230" w:rsidRDefault="00C31230" w:rsidP="00C31230">
            <w:pPr>
              <w:tabs>
                <w:tab w:val="left" w:pos="427"/>
              </w:tabs>
              <w:rPr>
                <w:sz w:val="22"/>
                <w:szCs w:val="22"/>
                <w:lang w:val="sr-Cyrl-CS"/>
              </w:rPr>
            </w:pPr>
            <w:r w:rsidRPr="00C31230">
              <w:rPr>
                <w:sz w:val="22"/>
                <w:szCs w:val="22"/>
              </w:rPr>
              <w:t>Адреса</w:t>
            </w:r>
            <w:r w:rsidR="00BC0E03" w:rsidRPr="00C31230">
              <w:rPr>
                <w:sz w:val="22"/>
                <w:szCs w:val="22"/>
                <w:lang w:val="sr-Cyrl-CS"/>
              </w:rPr>
              <w:t xml:space="preserve"> наручиоца</w:t>
            </w:r>
          </w:p>
        </w:tc>
        <w:tc>
          <w:tcPr>
            <w:tcW w:w="2410" w:type="pct"/>
          </w:tcPr>
          <w:p w:rsidR="00BC0E03" w:rsidRPr="00BC0E03" w:rsidRDefault="00C31230" w:rsidP="00BC0E03">
            <w:pPr>
              <w:rPr>
                <w:sz w:val="22"/>
                <w:szCs w:val="22"/>
              </w:rPr>
            </w:pPr>
            <w:proofErr w:type="spellStart"/>
            <w:r w:rsidRPr="002B550F">
              <w:rPr>
                <w:sz w:val="22"/>
                <w:szCs w:val="22"/>
              </w:rPr>
              <w:t>Београд</w:t>
            </w:r>
            <w:proofErr w:type="spellEnd"/>
            <w:r w:rsidRPr="002B550F">
              <w:rPr>
                <w:sz w:val="22"/>
                <w:szCs w:val="22"/>
              </w:rPr>
              <w:t xml:space="preserve">, </w:t>
            </w:r>
            <w:proofErr w:type="spellStart"/>
            <w:r w:rsidRPr="002B550F">
              <w:rPr>
                <w:sz w:val="22"/>
                <w:szCs w:val="22"/>
              </w:rPr>
              <w:t>Бранкова</w:t>
            </w:r>
            <w:proofErr w:type="spellEnd"/>
            <w:r w:rsidRPr="002B550F">
              <w:rPr>
                <w:sz w:val="22"/>
                <w:szCs w:val="22"/>
              </w:rPr>
              <w:t xml:space="preserve"> </w:t>
            </w:r>
            <w:proofErr w:type="spellStart"/>
            <w:r w:rsidRPr="002B550F">
              <w:rPr>
                <w:sz w:val="22"/>
                <w:szCs w:val="22"/>
              </w:rPr>
              <w:t>бр</w:t>
            </w:r>
            <w:proofErr w:type="spellEnd"/>
            <w:r w:rsidRPr="002B550F">
              <w:rPr>
                <w:sz w:val="22"/>
                <w:szCs w:val="22"/>
              </w:rPr>
              <w:t>. 25</w:t>
            </w:r>
          </w:p>
        </w:tc>
      </w:tr>
      <w:tr w:rsidR="00C31230" w:rsidRPr="002B550F" w:rsidTr="00A3009B">
        <w:trPr>
          <w:trHeight w:val="232"/>
          <w:tblCellSpacing w:w="11" w:type="dxa"/>
        </w:trPr>
        <w:tc>
          <w:tcPr>
            <w:tcW w:w="2555" w:type="pct"/>
          </w:tcPr>
          <w:p w:rsidR="00C31230" w:rsidRPr="00A3009B" w:rsidRDefault="00C31230" w:rsidP="00A3009B">
            <w:pPr>
              <w:tabs>
                <w:tab w:val="left" w:pos="426"/>
              </w:tabs>
              <w:rPr>
                <w:sz w:val="22"/>
                <w:szCs w:val="22"/>
                <w:lang w:val="sr-Cyrl-CS"/>
              </w:rPr>
            </w:pPr>
            <w:r w:rsidRPr="00A3009B">
              <w:rPr>
                <w:sz w:val="22"/>
                <w:szCs w:val="22"/>
                <w:lang w:val="sr-Cyrl-CS"/>
              </w:rPr>
              <w:t>Интернет страница Наручиоца</w:t>
            </w:r>
          </w:p>
        </w:tc>
        <w:tc>
          <w:tcPr>
            <w:tcW w:w="2410" w:type="pct"/>
          </w:tcPr>
          <w:p w:rsidR="00C31230" w:rsidRPr="002B550F" w:rsidRDefault="00634386" w:rsidP="00C34CAF">
            <w:pPr>
              <w:rPr>
                <w:sz w:val="22"/>
                <w:szCs w:val="22"/>
              </w:rPr>
            </w:pPr>
            <w:hyperlink r:id="rId6" w:history="1">
              <w:r w:rsidR="00C31230" w:rsidRPr="002B550F">
                <w:rPr>
                  <w:rStyle w:val="Hyperlink"/>
                  <w:sz w:val="22"/>
                  <w:szCs w:val="22"/>
                </w:rPr>
                <w:t>www.apr.gov.rs</w:t>
              </w:r>
            </w:hyperlink>
          </w:p>
        </w:tc>
      </w:tr>
      <w:tr w:rsidR="0008529C" w:rsidRPr="002B550F" w:rsidTr="00A3009B">
        <w:trPr>
          <w:trHeight w:val="232"/>
          <w:tblCellSpacing w:w="11" w:type="dxa"/>
        </w:trPr>
        <w:tc>
          <w:tcPr>
            <w:tcW w:w="2555" w:type="pct"/>
          </w:tcPr>
          <w:p w:rsidR="00C30CBF" w:rsidRPr="00A3009B" w:rsidRDefault="00C30CBF" w:rsidP="00A3009B">
            <w:pPr>
              <w:tabs>
                <w:tab w:val="left" w:pos="426"/>
              </w:tabs>
              <w:rPr>
                <w:sz w:val="22"/>
                <w:szCs w:val="22"/>
                <w:lang w:val="sr-Cyrl-CS"/>
              </w:rPr>
            </w:pPr>
            <w:r w:rsidRPr="00A3009B">
              <w:rPr>
                <w:sz w:val="22"/>
                <w:szCs w:val="22"/>
                <w:lang w:val="sr-Cyrl-CS"/>
              </w:rPr>
              <w:t xml:space="preserve">Врста предмета: </w:t>
            </w:r>
          </w:p>
        </w:tc>
        <w:tc>
          <w:tcPr>
            <w:tcW w:w="2410" w:type="pct"/>
          </w:tcPr>
          <w:p w:rsidR="00C30CBF" w:rsidRPr="002B550F" w:rsidRDefault="003C21EF" w:rsidP="00C34CAF">
            <w:pPr>
              <w:rPr>
                <w:sz w:val="22"/>
                <w:szCs w:val="22"/>
              </w:rPr>
            </w:pPr>
            <w:r w:rsidRPr="002B550F">
              <w:rPr>
                <w:sz w:val="22"/>
                <w:szCs w:val="22"/>
              </w:rPr>
              <w:t>Добра</w:t>
            </w:r>
          </w:p>
        </w:tc>
      </w:tr>
      <w:tr w:rsidR="0008529C" w:rsidRPr="002B550F" w:rsidTr="00A3009B">
        <w:trPr>
          <w:trHeight w:val="258"/>
          <w:tblCellSpacing w:w="11" w:type="dxa"/>
        </w:trPr>
        <w:tc>
          <w:tcPr>
            <w:tcW w:w="2555" w:type="pct"/>
          </w:tcPr>
          <w:p w:rsidR="00C30CBF" w:rsidRPr="00C31230" w:rsidRDefault="00C31230" w:rsidP="00A3009B">
            <w:pPr>
              <w:tabs>
                <w:tab w:val="left" w:pos="427"/>
              </w:tabs>
              <w:rPr>
                <w:sz w:val="22"/>
                <w:szCs w:val="22"/>
                <w:lang w:val="sr-Cyrl-CS"/>
              </w:rPr>
            </w:pPr>
            <w:r w:rsidRPr="00C31230">
              <w:rPr>
                <w:sz w:val="22"/>
                <w:szCs w:val="22"/>
                <w:lang w:val="sr-Cyrl-CS"/>
              </w:rPr>
              <w:t>Врста наручиоца</w:t>
            </w:r>
            <w:r w:rsidR="00B910E9" w:rsidRPr="00C31230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410" w:type="pct"/>
          </w:tcPr>
          <w:p w:rsidR="00F00A75" w:rsidRPr="00C31230" w:rsidRDefault="00C31230" w:rsidP="00C3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Јавна Агенција</w:t>
            </w:r>
          </w:p>
        </w:tc>
      </w:tr>
      <w:tr w:rsidR="00E43531" w:rsidRPr="002B550F" w:rsidTr="00A3009B">
        <w:trPr>
          <w:trHeight w:val="258"/>
          <w:tblCellSpacing w:w="11" w:type="dxa"/>
        </w:trPr>
        <w:tc>
          <w:tcPr>
            <w:tcW w:w="2555" w:type="pct"/>
          </w:tcPr>
          <w:p w:rsidR="00E43531" w:rsidRPr="00A3009B" w:rsidRDefault="00C31230" w:rsidP="00A3009B">
            <w:pPr>
              <w:tabs>
                <w:tab w:val="left" w:pos="427"/>
              </w:tabs>
              <w:rPr>
                <w:sz w:val="22"/>
                <w:szCs w:val="22"/>
                <w:lang w:val="sr-Cyrl-CS"/>
              </w:rPr>
            </w:pPr>
            <w:r w:rsidRPr="00A3009B">
              <w:rPr>
                <w:sz w:val="22"/>
                <w:szCs w:val="22"/>
                <w:lang w:val="sr-Cyrl-CS"/>
              </w:rPr>
              <w:t>Врста поступка</w:t>
            </w:r>
            <w:r w:rsidR="00E43531" w:rsidRPr="00A3009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410" w:type="pct"/>
            <w:vAlign w:val="bottom"/>
          </w:tcPr>
          <w:p w:rsidR="00E43531" w:rsidRPr="00C31230" w:rsidRDefault="00C31230" w:rsidP="00C34CA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Јавна набавка мале вредности</w:t>
            </w:r>
          </w:p>
        </w:tc>
      </w:tr>
      <w:tr w:rsidR="0008529C" w:rsidRPr="002B550F" w:rsidTr="00A3009B">
        <w:trPr>
          <w:trHeight w:val="295"/>
          <w:tblCellSpacing w:w="11" w:type="dxa"/>
        </w:trPr>
        <w:tc>
          <w:tcPr>
            <w:tcW w:w="2555" w:type="pct"/>
          </w:tcPr>
          <w:p w:rsidR="00C30CBF" w:rsidRPr="00A3009B" w:rsidRDefault="00C31230" w:rsidP="00A3009B">
            <w:pPr>
              <w:tabs>
                <w:tab w:val="left" w:pos="427"/>
              </w:tabs>
              <w:rPr>
                <w:sz w:val="22"/>
                <w:szCs w:val="22"/>
              </w:rPr>
            </w:pPr>
            <w:r w:rsidRPr="00A3009B">
              <w:rPr>
                <w:sz w:val="22"/>
                <w:szCs w:val="22"/>
                <w:lang w:val="sr-Cyrl-CS"/>
              </w:rPr>
              <w:t xml:space="preserve">Врста предмета </w:t>
            </w:r>
            <w:r w:rsidR="00C30CBF" w:rsidRPr="00A3009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410" w:type="pct"/>
          </w:tcPr>
          <w:p w:rsidR="00C30CBF" w:rsidRPr="00C31230" w:rsidRDefault="00C31230" w:rsidP="0096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услуге</w:t>
            </w:r>
          </w:p>
        </w:tc>
      </w:tr>
      <w:tr w:rsidR="0008529C" w:rsidRPr="002B550F" w:rsidTr="00A3009B">
        <w:trPr>
          <w:trHeight w:val="283"/>
          <w:tblCellSpacing w:w="11" w:type="dxa"/>
        </w:trPr>
        <w:tc>
          <w:tcPr>
            <w:tcW w:w="2555" w:type="pct"/>
          </w:tcPr>
          <w:p w:rsidR="00C30CBF" w:rsidRPr="00A3009B" w:rsidRDefault="00C31230" w:rsidP="00A3009B">
            <w:pPr>
              <w:tabs>
                <w:tab w:val="left" w:pos="427"/>
              </w:tabs>
              <w:rPr>
                <w:sz w:val="22"/>
                <w:szCs w:val="22"/>
              </w:rPr>
            </w:pPr>
            <w:r w:rsidRPr="00A3009B">
              <w:rPr>
                <w:sz w:val="22"/>
                <w:szCs w:val="22"/>
                <w:lang w:val="sr-Cyrl-CS"/>
              </w:rPr>
              <w:t>Опис предмета јавне набавке, назив и ознака и општег речника набавке</w:t>
            </w:r>
            <w:r w:rsidR="00C30CBF" w:rsidRPr="00A3009B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2410" w:type="pct"/>
          </w:tcPr>
          <w:p w:rsidR="00FC5BB1" w:rsidRPr="00C31230" w:rsidRDefault="00C31230" w:rsidP="00C31230">
            <w:pPr>
              <w:tabs>
                <w:tab w:val="left" w:pos="2400"/>
              </w:tabs>
              <w:jc w:val="both"/>
            </w:pP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мобилне</w:t>
            </w:r>
            <w:proofErr w:type="spellEnd"/>
            <w:r>
              <w:t xml:space="preserve"> </w:t>
            </w:r>
            <w:proofErr w:type="spellStart"/>
            <w:r>
              <w:t>телефоније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потребе</w:t>
            </w:r>
            <w:proofErr w:type="spellEnd"/>
            <w:r>
              <w:t xml:space="preserve"> </w:t>
            </w:r>
            <w:proofErr w:type="spellStart"/>
            <w:r>
              <w:t>Агенције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привредне</w:t>
            </w:r>
            <w:proofErr w:type="spellEnd"/>
            <w:r>
              <w:t xml:space="preserve"> </w:t>
            </w:r>
            <w:proofErr w:type="spellStart"/>
            <w:r>
              <w:t>регистре</w:t>
            </w:r>
            <w:proofErr w:type="spellEnd"/>
            <w:r>
              <w:t xml:space="preserve">, </w:t>
            </w:r>
            <w:proofErr w:type="spellStart"/>
            <w:r>
              <w:t>услуге</w:t>
            </w:r>
            <w:proofErr w:type="spellEnd"/>
            <w:r>
              <w:t xml:space="preserve"> </w:t>
            </w:r>
            <w:proofErr w:type="spellStart"/>
            <w:r>
              <w:t>мобилне</w:t>
            </w:r>
            <w:proofErr w:type="spellEnd"/>
            <w:r>
              <w:t xml:space="preserve"> </w:t>
            </w:r>
            <w:proofErr w:type="spellStart"/>
            <w:r>
              <w:t>телефоније</w:t>
            </w:r>
            <w:proofErr w:type="spellEnd"/>
            <w:r>
              <w:t xml:space="preserve"> – 64212000-5 </w:t>
            </w:r>
          </w:p>
        </w:tc>
      </w:tr>
      <w:tr w:rsidR="0008529C" w:rsidRPr="002B550F" w:rsidTr="00A3009B">
        <w:trPr>
          <w:trHeight w:val="253"/>
          <w:tblCellSpacing w:w="11" w:type="dxa"/>
        </w:trPr>
        <w:tc>
          <w:tcPr>
            <w:tcW w:w="2555" w:type="pct"/>
          </w:tcPr>
          <w:p w:rsidR="00C30CBF" w:rsidRPr="00A3009B" w:rsidRDefault="00C31230" w:rsidP="00A3009B">
            <w:pPr>
              <w:tabs>
                <w:tab w:val="left" w:pos="427"/>
              </w:tabs>
              <w:rPr>
                <w:sz w:val="22"/>
                <w:szCs w:val="22"/>
              </w:rPr>
            </w:pPr>
            <w:r w:rsidRPr="00A3009B">
              <w:rPr>
                <w:sz w:val="22"/>
                <w:szCs w:val="22"/>
              </w:rPr>
              <w:t>Датум објављивања позива за подношење позива</w:t>
            </w:r>
          </w:p>
        </w:tc>
        <w:tc>
          <w:tcPr>
            <w:tcW w:w="2410" w:type="pct"/>
          </w:tcPr>
          <w:p w:rsidR="00C30CBF" w:rsidRPr="00C31230" w:rsidRDefault="00C31230" w:rsidP="00C3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14.04.2016. године</w:t>
            </w:r>
          </w:p>
        </w:tc>
      </w:tr>
      <w:tr w:rsidR="00026912" w:rsidRPr="002B550F" w:rsidTr="00A3009B">
        <w:trPr>
          <w:trHeight w:val="253"/>
          <w:tblCellSpacing w:w="11" w:type="dxa"/>
        </w:trPr>
        <w:tc>
          <w:tcPr>
            <w:tcW w:w="2555" w:type="pct"/>
          </w:tcPr>
          <w:p w:rsidR="003040A0" w:rsidRPr="00C31230" w:rsidRDefault="00C31230" w:rsidP="00C31230">
            <w:pPr>
              <w:tabs>
                <w:tab w:val="left" w:pos="296"/>
              </w:tabs>
              <w:rPr>
                <w:sz w:val="22"/>
                <w:szCs w:val="22"/>
                <w:lang w:val="sr-Cyrl-CS"/>
              </w:rPr>
            </w:pPr>
            <w:r w:rsidRPr="00C31230">
              <w:rPr>
                <w:sz w:val="22"/>
                <w:szCs w:val="22"/>
                <w:lang w:val="sr-Cyrl-CS"/>
              </w:rPr>
              <w:t xml:space="preserve">Датум објављивања обавештења о продужењу 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C31230">
              <w:rPr>
                <w:sz w:val="22"/>
                <w:szCs w:val="22"/>
                <w:lang w:val="sr-Cyrl-CS"/>
              </w:rPr>
              <w:t>рока:</w:t>
            </w:r>
          </w:p>
        </w:tc>
        <w:tc>
          <w:tcPr>
            <w:tcW w:w="2410" w:type="pct"/>
            <w:vAlign w:val="center"/>
          </w:tcPr>
          <w:p w:rsidR="003040A0" w:rsidRPr="00C31230" w:rsidRDefault="00C31230" w:rsidP="00BC0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21.04.2016. године</w:t>
            </w:r>
          </w:p>
        </w:tc>
      </w:tr>
      <w:tr w:rsidR="007F004B" w:rsidRPr="002B550F" w:rsidTr="00A3009B">
        <w:trPr>
          <w:trHeight w:val="253"/>
          <w:tblCellSpacing w:w="11" w:type="dxa"/>
        </w:trPr>
        <w:tc>
          <w:tcPr>
            <w:tcW w:w="2555" w:type="pct"/>
          </w:tcPr>
          <w:p w:rsidR="003040A0" w:rsidRPr="00C31230" w:rsidRDefault="00983E99" w:rsidP="00A3009B">
            <w:pPr>
              <w:tabs>
                <w:tab w:val="left" w:pos="427"/>
                <w:tab w:val="left" w:pos="567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Разлог за продужење рока:</w:t>
            </w:r>
          </w:p>
        </w:tc>
        <w:tc>
          <w:tcPr>
            <w:tcW w:w="2410" w:type="pct"/>
            <w:vAlign w:val="center"/>
          </w:tcPr>
          <w:p w:rsidR="007F004B" w:rsidRDefault="00983E99" w:rsidP="003040A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Измена конкурсне докуметације ( поглавље III техничке карактеристике (спецификације) и поглавље XI упутство понуђачима како да сачине понуду ), у складу са чл. 63.став.5 ЗЈН</w:t>
            </w:r>
          </w:p>
          <w:p w:rsidR="000873FB" w:rsidRPr="000873FB" w:rsidRDefault="000873FB" w:rsidP="003040A0">
            <w:pPr>
              <w:rPr>
                <w:sz w:val="22"/>
                <w:szCs w:val="22"/>
                <w:lang/>
              </w:rPr>
            </w:pPr>
          </w:p>
        </w:tc>
      </w:tr>
      <w:tr w:rsidR="00026912" w:rsidRPr="002B550F" w:rsidTr="00A3009B">
        <w:trPr>
          <w:trHeight w:val="307"/>
          <w:tblCellSpacing w:w="11" w:type="dxa"/>
        </w:trPr>
        <w:tc>
          <w:tcPr>
            <w:tcW w:w="2555" w:type="pct"/>
            <w:vAlign w:val="center"/>
          </w:tcPr>
          <w:p w:rsidR="00026912" w:rsidRPr="00A3009B" w:rsidRDefault="00A3009B" w:rsidP="00A3009B">
            <w:pPr>
              <w:tabs>
                <w:tab w:val="left" w:pos="427"/>
                <w:tab w:val="left" w:pos="569"/>
              </w:tabs>
              <w:rPr>
                <w:sz w:val="22"/>
                <w:szCs w:val="22"/>
                <w:lang w:val="sr-Cyrl-CS"/>
              </w:rPr>
            </w:pPr>
            <w:r w:rsidRPr="00A3009B">
              <w:rPr>
                <w:sz w:val="22"/>
                <w:szCs w:val="22"/>
                <w:lang w:val="sr-Cyrl-CS"/>
              </w:rPr>
              <w:t xml:space="preserve">Време и место подношења понуде ( нови рок ) </w:t>
            </w:r>
          </w:p>
        </w:tc>
        <w:tc>
          <w:tcPr>
            <w:tcW w:w="2410" w:type="pct"/>
            <w:vAlign w:val="bottom"/>
          </w:tcPr>
          <w:p w:rsidR="00A3009B" w:rsidRPr="005E4989" w:rsidRDefault="00A3009B" w:rsidP="00A3009B">
            <w:pPr>
              <w:pStyle w:val="ListParagraph"/>
              <w:tabs>
                <w:tab w:val="left" w:pos="2400"/>
              </w:tabs>
              <w:ind w:left="0"/>
              <w:jc w:val="both"/>
              <w:rPr>
                <w:sz w:val="22"/>
                <w:szCs w:val="22"/>
                <w:lang w:val="sr-Cyrl-CS"/>
              </w:rPr>
            </w:pPr>
            <w:r w:rsidRPr="005E4989">
              <w:rPr>
                <w:sz w:val="22"/>
                <w:szCs w:val="22"/>
                <w:lang w:val="sr-Cyrl-CS"/>
              </w:rPr>
              <w:t xml:space="preserve">Понуду доставити на адресу: Агенција за привредне регистре, Београд, ул. Бранкова бр. 25, са назнаком: Понуда за јавну набавку услуга - </w:t>
            </w:r>
            <w:proofErr w:type="spellStart"/>
            <w:r w:rsidRPr="00246809">
              <w:rPr>
                <w:sz w:val="22"/>
                <w:szCs w:val="22"/>
              </w:rPr>
              <w:t>услуге</w:t>
            </w:r>
            <w:proofErr w:type="spellEnd"/>
            <w:r w:rsidRPr="00246809">
              <w:rPr>
                <w:sz w:val="22"/>
                <w:szCs w:val="22"/>
              </w:rPr>
              <w:t xml:space="preserve"> </w:t>
            </w:r>
            <w:proofErr w:type="spellStart"/>
            <w:r w:rsidRPr="00246809">
              <w:rPr>
                <w:sz w:val="22"/>
                <w:szCs w:val="22"/>
              </w:rPr>
              <w:t>мобилне</w:t>
            </w:r>
            <w:proofErr w:type="spellEnd"/>
            <w:r w:rsidRPr="00246809">
              <w:rPr>
                <w:sz w:val="22"/>
                <w:szCs w:val="22"/>
              </w:rPr>
              <w:t xml:space="preserve"> </w:t>
            </w:r>
            <w:proofErr w:type="spellStart"/>
            <w:r w:rsidRPr="00246809">
              <w:rPr>
                <w:sz w:val="22"/>
                <w:szCs w:val="22"/>
              </w:rPr>
              <w:t>телефоније</w:t>
            </w:r>
            <w:proofErr w:type="spellEnd"/>
            <w:r w:rsidRPr="00246809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46809">
              <w:rPr>
                <w:sz w:val="22"/>
                <w:szCs w:val="22"/>
              </w:rPr>
              <w:t>за</w:t>
            </w:r>
            <w:proofErr w:type="spellEnd"/>
            <w:r w:rsidRPr="00246809">
              <w:rPr>
                <w:sz w:val="22"/>
                <w:szCs w:val="22"/>
              </w:rPr>
              <w:t xml:space="preserve"> </w:t>
            </w:r>
            <w:proofErr w:type="spellStart"/>
            <w:r w:rsidRPr="00246809">
              <w:rPr>
                <w:sz w:val="22"/>
                <w:szCs w:val="22"/>
              </w:rPr>
              <w:t>потребе</w:t>
            </w:r>
            <w:proofErr w:type="spellEnd"/>
            <w:r w:rsidRPr="00246809">
              <w:rPr>
                <w:sz w:val="22"/>
                <w:szCs w:val="22"/>
              </w:rPr>
              <w:t xml:space="preserve"> </w:t>
            </w:r>
            <w:proofErr w:type="spellStart"/>
            <w:r w:rsidRPr="00246809">
              <w:rPr>
                <w:sz w:val="22"/>
                <w:szCs w:val="22"/>
              </w:rPr>
              <w:t>Агенције</w:t>
            </w:r>
            <w:proofErr w:type="spellEnd"/>
            <w:r w:rsidRPr="00246809">
              <w:rPr>
                <w:sz w:val="22"/>
                <w:szCs w:val="22"/>
              </w:rPr>
              <w:t xml:space="preserve"> </w:t>
            </w:r>
            <w:proofErr w:type="spellStart"/>
            <w:r w:rsidRPr="00246809">
              <w:rPr>
                <w:sz w:val="22"/>
                <w:szCs w:val="22"/>
              </w:rPr>
              <w:t>за</w:t>
            </w:r>
            <w:proofErr w:type="spellEnd"/>
            <w:r w:rsidRPr="00246809">
              <w:rPr>
                <w:sz w:val="22"/>
                <w:szCs w:val="22"/>
              </w:rPr>
              <w:t xml:space="preserve"> </w:t>
            </w:r>
            <w:proofErr w:type="spellStart"/>
            <w:r w:rsidRPr="00246809">
              <w:rPr>
                <w:sz w:val="22"/>
                <w:szCs w:val="22"/>
              </w:rPr>
              <w:t>привредне</w:t>
            </w:r>
            <w:proofErr w:type="spellEnd"/>
            <w:r w:rsidRPr="00246809">
              <w:rPr>
                <w:sz w:val="22"/>
                <w:szCs w:val="22"/>
              </w:rPr>
              <w:t xml:space="preserve"> </w:t>
            </w:r>
            <w:proofErr w:type="spellStart"/>
            <w:r w:rsidRPr="00246809">
              <w:rPr>
                <w:sz w:val="22"/>
                <w:szCs w:val="22"/>
              </w:rPr>
              <w:t>регистре</w:t>
            </w:r>
            <w:proofErr w:type="spellEnd"/>
            <w:r w:rsidRPr="005E4989">
              <w:rPr>
                <w:sz w:val="22"/>
                <w:szCs w:val="22"/>
                <w:lang w:val="sr-Cyrl-CS"/>
              </w:rPr>
              <w:t>, редни број ЈНОП 1</w:t>
            </w:r>
            <w:r>
              <w:rPr>
                <w:sz w:val="22"/>
                <w:szCs w:val="22"/>
                <w:lang w:val="sr-Cyrl-CS"/>
              </w:rPr>
              <w:t>5/04-16</w:t>
            </w:r>
            <w:r w:rsidRPr="005E4989">
              <w:rPr>
                <w:sz w:val="22"/>
                <w:szCs w:val="22"/>
                <w:lang w:val="sr-Cyrl-CS"/>
              </w:rPr>
              <w:t xml:space="preserve"> - НЕ ОТВАРАТИ“.</w:t>
            </w:r>
          </w:p>
          <w:p w:rsidR="00A3009B" w:rsidRPr="00C52120" w:rsidRDefault="00A3009B" w:rsidP="00A3009B">
            <w:pPr>
              <w:pStyle w:val="ListParagraph"/>
              <w:tabs>
                <w:tab w:val="left" w:pos="2400"/>
              </w:tabs>
              <w:ind w:left="0"/>
              <w:jc w:val="both"/>
              <w:rPr>
                <w:sz w:val="22"/>
                <w:szCs w:val="22"/>
                <w:lang w:val="sr-Cyrl-CS"/>
              </w:rPr>
            </w:pPr>
            <w:r w:rsidRPr="005E4989">
              <w:rPr>
                <w:sz w:val="22"/>
                <w:szCs w:val="22"/>
                <w:lang w:val="sr-Cyrl-CS"/>
              </w:rPr>
              <w:t>Рок за подношење понуда је</w:t>
            </w:r>
            <w:r w:rsidRPr="00C52120">
              <w:rPr>
                <w:sz w:val="22"/>
                <w:szCs w:val="22"/>
                <w:lang w:val="sr-Cyrl-CS"/>
              </w:rPr>
              <w:t xml:space="preserve">: </w:t>
            </w:r>
            <w:r w:rsidRPr="00C52120">
              <w:rPr>
                <w:color w:val="000000"/>
                <w:sz w:val="22"/>
                <w:szCs w:val="22"/>
                <w:lang w:val="sr-Cyrl-CS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C52120">
              <w:rPr>
                <w:sz w:val="22"/>
                <w:szCs w:val="22"/>
                <w:lang w:val="sr-Cyrl-CS"/>
              </w:rPr>
              <w:t>. април 2016. године до 1</w:t>
            </w:r>
            <w:r w:rsidRPr="00C52120">
              <w:rPr>
                <w:sz w:val="22"/>
                <w:szCs w:val="22"/>
              </w:rPr>
              <w:t>3</w:t>
            </w:r>
            <w:r w:rsidRPr="00C52120">
              <w:rPr>
                <w:sz w:val="22"/>
                <w:szCs w:val="22"/>
                <w:lang w:val="sr-Cyrl-CS"/>
              </w:rPr>
              <w:t>:00 часова.</w:t>
            </w:r>
          </w:p>
          <w:p w:rsidR="00A3009B" w:rsidRPr="005E4989" w:rsidRDefault="00A3009B" w:rsidP="00A3009B">
            <w:pPr>
              <w:pStyle w:val="ListParagraph"/>
              <w:tabs>
                <w:tab w:val="left" w:pos="2400"/>
              </w:tabs>
              <w:ind w:left="0"/>
              <w:jc w:val="both"/>
              <w:rPr>
                <w:sz w:val="22"/>
                <w:szCs w:val="22"/>
                <w:lang w:val="sr-Cyrl-CS"/>
              </w:rPr>
            </w:pPr>
            <w:r w:rsidRPr="00C52120">
              <w:rPr>
                <w:sz w:val="22"/>
                <w:szCs w:val="22"/>
                <w:lang w:val="sr-Cyrl-CS"/>
              </w:rPr>
              <w:t>Понуда се сматра благовременом уколико је примљена од стране наручиоца до 2</w:t>
            </w:r>
            <w:r>
              <w:rPr>
                <w:sz w:val="22"/>
                <w:szCs w:val="22"/>
              </w:rPr>
              <w:t>5</w:t>
            </w:r>
            <w:r w:rsidRPr="00C52120">
              <w:rPr>
                <w:color w:val="000000"/>
                <w:sz w:val="22"/>
                <w:szCs w:val="22"/>
                <w:lang w:val="sr-Cyrl-CS"/>
              </w:rPr>
              <w:t>.</w:t>
            </w:r>
            <w:r w:rsidRPr="00C52120">
              <w:rPr>
                <w:sz w:val="22"/>
                <w:szCs w:val="22"/>
                <w:lang w:val="sr-Cyrl-CS"/>
              </w:rPr>
              <w:t xml:space="preserve"> </w:t>
            </w:r>
            <w:r w:rsidR="000873FB">
              <w:rPr>
                <w:sz w:val="22"/>
                <w:szCs w:val="22"/>
                <w:lang w:val="sr-Cyrl-CS"/>
              </w:rPr>
              <w:t>а</w:t>
            </w:r>
            <w:r w:rsidRPr="00C52120">
              <w:rPr>
                <w:sz w:val="22"/>
                <w:szCs w:val="22"/>
                <w:lang w:val="sr-Cyrl-CS"/>
              </w:rPr>
              <w:t>прил</w:t>
            </w:r>
            <w:r>
              <w:rPr>
                <w:sz w:val="22"/>
                <w:szCs w:val="22"/>
                <w:lang w:val="sr-Cyrl-CS"/>
              </w:rPr>
              <w:t xml:space="preserve">а </w:t>
            </w:r>
            <w:r w:rsidRPr="00C52120">
              <w:rPr>
                <w:sz w:val="22"/>
                <w:szCs w:val="22"/>
                <w:lang w:val="sr-Cyrl-CS"/>
              </w:rPr>
              <w:t>2016. године до 1</w:t>
            </w:r>
            <w:r w:rsidRPr="00C52120">
              <w:rPr>
                <w:sz w:val="22"/>
                <w:szCs w:val="22"/>
              </w:rPr>
              <w:t>3</w:t>
            </w:r>
            <w:r w:rsidRPr="00C52120">
              <w:rPr>
                <w:sz w:val="22"/>
                <w:szCs w:val="22"/>
                <w:lang w:val="sr-Cyrl-CS"/>
              </w:rPr>
              <w:t>:00 часова.</w:t>
            </w:r>
          </w:p>
          <w:p w:rsidR="00026912" w:rsidRPr="002B550F" w:rsidRDefault="00026912" w:rsidP="00BC0E03">
            <w:pPr>
              <w:rPr>
                <w:sz w:val="22"/>
                <w:szCs w:val="22"/>
                <w:lang w:val="sr-Cyrl-CS"/>
              </w:rPr>
            </w:pPr>
          </w:p>
        </w:tc>
      </w:tr>
      <w:tr w:rsidR="00026912" w:rsidRPr="002B550F" w:rsidTr="00A3009B">
        <w:trPr>
          <w:trHeight w:val="303"/>
          <w:tblCellSpacing w:w="11" w:type="dxa"/>
        </w:trPr>
        <w:tc>
          <w:tcPr>
            <w:tcW w:w="2555" w:type="pct"/>
            <w:vAlign w:val="center"/>
          </w:tcPr>
          <w:p w:rsidR="00026912" w:rsidRPr="00A3009B" w:rsidRDefault="00A3009B" w:rsidP="00A3009B">
            <w:pPr>
              <w:tabs>
                <w:tab w:val="left" w:pos="427"/>
                <w:tab w:val="left" w:pos="569"/>
              </w:tabs>
              <w:rPr>
                <w:sz w:val="22"/>
                <w:szCs w:val="22"/>
                <w:lang w:val="sr-Cyrl-CS"/>
              </w:rPr>
            </w:pPr>
            <w:r w:rsidRPr="00A3009B">
              <w:rPr>
                <w:sz w:val="22"/>
                <w:szCs w:val="22"/>
                <w:lang w:val="sr-Cyrl-CS"/>
              </w:rPr>
              <w:t>Време и место отварања понуде</w:t>
            </w:r>
          </w:p>
        </w:tc>
        <w:tc>
          <w:tcPr>
            <w:tcW w:w="2410" w:type="pct"/>
            <w:vAlign w:val="center"/>
          </w:tcPr>
          <w:p w:rsidR="00A3009B" w:rsidRPr="005E4989" w:rsidRDefault="00A3009B" w:rsidP="00A3009B">
            <w:pPr>
              <w:jc w:val="both"/>
              <w:rPr>
                <w:sz w:val="22"/>
                <w:szCs w:val="22"/>
                <w:lang w:val="sr-Cyrl-CS"/>
              </w:rPr>
            </w:pPr>
            <w:r w:rsidRPr="005E4989">
              <w:rPr>
                <w:sz w:val="22"/>
                <w:szCs w:val="22"/>
                <w:lang w:val="sr-Cyrl-CS"/>
              </w:rPr>
              <w:t>Отварање понуда ће се обавити у просторијама наручиоца Агенције за привредне регистре, Београд, ул. Бранкова бр. 25, канцеларија бр. 2</w:t>
            </w:r>
            <w:r>
              <w:rPr>
                <w:sz w:val="22"/>
                <w:szCs w:val="22"/>
              </w:rPr>
              <w:t>12</w:t>
            </w:r>
            <w:r w:rsidRPr="005E4989">
              <w:rPr>
                <w:sz w:val="22"/>
                <w:szCs w:val="22"/>
                <w:lang w:val="sr-Cyrl-CS"/>
              </w:rPr>
              <w:t xml:space="preserve">, други спрат. Отварање понуда спроводи се одмах по истеку рока за подношење понуда, то </w:t>
            </w:r>
            <w:r w:rsidRPr="00206577">
              <w:rPr>
                <w:sz w:val="22"/>
                <w:szCs w:val="22"/>
                <w:lang w:val="sr-Cyrl-CS"/>
              </w:rPr>
              <w:t>јест 2</w:t>
            </w:r>
            <w:r>
              <w:rPr>
                <w:sz w:val="22"/>
                <w:szCs w:val="22"/>
              </w:rPr>
              <w:t>5</w:t>
            </w:r>
            <w:r w:rsidRPr="00206577">
              <w:rPr>
                <w:sz w:val="22"/>
                <w:szCs w:val="22"/>
                <w:lang w:val="sr-Cyrl-CS"/>
              </w:rPr>
              <w:t>. април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206577">
              <w:rPr>
                <w:sz w:val="22"/>
                <w:szCs w:val="22"/>
                <w:lang w:val="sr-Cyrl-CS"/>
              </w:rPr>
              <w:t xml:space="preserve"> 2016. године у 1</w:t>
            </w:r>
            <w:r w:rsidRPr="00206577">
              <w:rPr>
                <w:sz w:val="22"/>
                <w:szCs w:val="22"/>
              </w:rPr>
              <w:t>3</w:t>
            </w:r>
            <w:r w:rsidRPr="00206577">
              <w:rPr>
                <w:sz w:val="22"/>
                <w:szCs w:val="22"/>
                <w:lang w:val="sr-Cyrl-CS"/>
              </w:rPr>
              <w:t>:</w:t>
            </w:r>
            <w:r w:rsidRPr="00206577">
              <w:rPr>
                <w:sz w:val="22"/>
                <w:szCs w:val="22"/>
              </w:rPr>
              <w:t>30</w:t>
            </w:r>
            <w:r w:rsidRPr="005E4989">
              <w:rPr>
                <w:sz w:val="22"/>
                <w:szCs w:val="22"/>
                <w:lang w:val="sr-Cyrl-CS"/>
              </w:rPr>
              <w:t xml:space="preserve"> часова. </w:t>
            </w:r>
          </w:p>
          <w:p w:rsidR="00A3009B" w:rsidRPr="005E4989" w:rsidRDefault="00A3009B" w:rsidP="00A3009B">
            <w:pPr>
              <w:jc w:val="both"/>
              <w:rPr>
                <w:sz w:val="22"/>
                <w:szCs w:val="22"/>
                <w:lang w:val="sr-Cyrl-CS"/>
              </w:rPr>
            </w:pPr>
            <w:r w:rsidRPr="005E4989">
              <w:rPr>
                <w:sz w:val="22"/>
                <w:szCs w:val="22"/>
                <w:lang w:val="sr-Cyrl-CS"/>
              </w:rPr>
              <w:t>Отварање понуда је јавно и може присуствовати свако заинтересовано лице.</w:t>
            </w:r>
          </w:p>
          <w:p w:rsidR="00026912" w:rsidRPr="002B550F" w:rsidRDefault="00026912" w:rsidP="00C34CAF">
            <w:pPr>
              <w:rPr>
                <w:sz w:val="22"/>
                <w:szCs w:val="22"/>
                <w:lang w:val="sr-Cyrl-CS"/>
              </w:rPr>
            </w:pPr>
          </w:p>
        </w:tc>
      </w:tr>
      <w:tr w:rsidR="00026912" w:rsidRPr="002B550F" w:rsidTr="00A3009B">
        <w:trPr>
          <w:trHeight w:val="258"/>
          <w:tblCellSpacing w:w="11" w:type="dxa"/>
        </w:trPr>
        <w:tc>
          <w:tcPr>
            <w:tcW w:w="2555" w:type="pct"/>
          </w:tcPr>
          <w:p w:rsidR="00026912" w:rsidRPr="00A3009B" w:rsidRDefault="00A3009B" w:rsidP="00A3009B">
            <w:pPr>
              <w:tabs>
                <w:tab w:val="left" w:pos="427"/>
                <w:tab w:val="left" w:pos="569"/>
              </w:tabs>
              <w:rPr>
                <w:sz w:val="22"/>
                <w:szCs w:val="22"/>
                <w:lang w:val="sr-Cyrl-CS"/>
              </w:rPr>
            </w:pPr>
            <w:r w:rsidRPr="00A3009B">
              <w:rPr>
                <w:sz w:val="22"/>
                <w:szCs w:val="22"/>
                <w:lang w:val="sr-Cyrl-CS"/>
              </w:rPr>
              <w:t xml:space="preserve">Лице за контакт: </w:t>
            </w:r>
          </w:p>
        </w:tc>
        <w:tc>
          <w:tcPr>
            <w:tcW w:w="2410" w:type="pct"/>
            <w:vAlign w:val="center"/>
          </w:tcPr>
          <w:p w:rsidR="00026912" w:rsidRDefault="00A3009B" w:rsidP="00C3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Наташа Тадић </w:t>
            </w:r>
          </w:p>
          <w:p w:rsidR="00A3009B" w:rsidRPr="00A3009B" w:rsidRDefault="00A3009B" w:rsidP="00C34C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javnenabavke@apr.gov.rs</w:t>
            </w:r>
          </w:p>
        </w:tc>
      </w:tr>
    </w:tbl>
    <w:p w:rsidR="000D1007" w:rsidRPr="002B550F" w:rsidRDefault="000D1007" w:rsidP="00E54172">
      <w:pPr>
        <w:jc w:val="both"/>
        <w:rPr>
          <w:sz w:val="22"/>
          <w:szCs w:val="22"/>
        </w:rPr>
      </w:pPr>
    </w:p>
    <w:sectPr w:rsidR="000D1007" w:rsidRPr="002B550F" w:rsidSect="00CE04C3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F8A"/>
    <w:multiLevelType w:val="hybridMultilevel"/>
    <w:tmpl w:val="ADCC0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5C33"/>
    <w:multiLevelType w:val="hybridMultilevel"/>
    <w:tmpl w:val="5914B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8EF"/>
    <w:multiLevelType w:val="hybridMultilevel"/>
    <w:tmpl w:val="7DF6CB6C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6BC1"/>
    <w:multiLevelType w:val="hybridMultilevel"/>
    <w:tmpl w:val="18D2B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2A63"/>
    <w:multiLevelType w:val="hybridMultilevel"/>
    <w:tmpl w:val="6818BCB0"/>
    <w:lvl w:ilvl="0" w:tplc="63341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E109B"/>
    <w:multiLevelType w:val="hybridMultilevel"/>
    <w:tmpl w:val="77F67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0650B"/>
    <w:multiLevelType w:val="hybridMultilevel"/>
    <w:tmpl w:val="9ADC565C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3511D"/>
    <w:multiLevelType w:val="hybridMultilevel"/>
    <w:tmpl w:val="1464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C20B1"/>
    <w:multiLevelType w:val="hybridMultilevel"/>
    <w:tmpl w:val="7942483C"/>
    <w:lvl w:ilvl="0" w:tplc="ACD60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2F8E"/>
    <w:multiLevelType w:val="hybridMultilevel"/>
    <w:tmpl w:val="5FD83620"/>
    <w:lvl w:ilvl="0" w:tplc="71CAE79E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1535F96"/>
    <w:multiLevelType w:val="hybridMultilevel"/>
    <w:tmpl w:val="3E28D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D784F"/>
    <w:multiLevelType w:val="hybridMultilevel"/>
    <w:tmpl w:val="89BC5476"/>
    <w:lvl w:ilvl="0" w:tplc="AF3049F0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>
    <w:nsid w:val="509C4390"/>
    <w:multiLevelType w:val="hybridMultilevel"/>
    <w:tmpl w:val="18D2B28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13F6E"/>
    <w:multiLevelType w:val="hybridMultilevel"/>
    <w:tmpl w:val="5914B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66682"/>
    <w:multiLevelType w:val="hybridMultilevel"/>
    <w:tmpl w:val="2B4ED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B2310"/>
    <w:multiLevelType w:val="hybridMultilevel"/>
    <w:tmpl w:val="6818BCB0"/>
    <w:lvl w:ilvl="0" w:tplc="63341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72654"/>
    <w:multiLevelType w:val="multilevel"/>
    <w:tmpl w:val="5F6E6F14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A934DDA"/>
    <w:multiLevelType w:val="hybridMultilevel"/>
    <w:tmpl w:val="D458C8F4"/>
    <w:lvl w:ilvl="0" w:tplc="EF02CC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755AC"/>
    <w:multiLevelType w:val="multilevel"/>
    <w:tmpl w:val="18D2B280"/>
    <w:lvl w:ilvl="0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F4517"/>
    <w:multiLevelType w:val="hybridMultilevel"/>
    <w:tmpl w:val="5C8261CA"/>
    <w:lvl w:ilvl="0" w:tplc="8BA824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6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7"/>
  </w:num>
  <w:num w:numId="13">
    <w:abstractNumId w:val="7"/>
  </w:num>
  <w:num w:numId="14">
    <w:abstractNumId w:val="10"/>
  </w:num>
  <w:num w:numId="15">
    <w:abstractNumId w:val="15"/>
  </w:num>
  <w:num w:numId="16">
    <w:abstractNumId w:val="4"/>
  </w:num>
  <w:num w:numId="17">
    <w:abstractNumId w:val="19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9C45C0"/>
    <w:rsid w:val="00026912"/>
    <w:rsid w:val="000271DF"/>
    <w:rsid w:val="000453DB"/>
    <w:rsid w:val="00051A50"/>
    <w:rsid w:val="00061E62"/>
    <w:rsid w:val="0008529C"/>
    <w:rsid w:val="000873FB"/>
    <w:rsid w:val="000A1A61"/>
    <w:rsid w:val="000B6957"/>
    <w:rsid w:val="000D1007"/>
    <w:rsid w:val="000D700D"/>
    <w:rsid w:val="00102D27"/>
    <w:rsid w:val="001304D6"/>
    <w:rsid w:val="00131B87"/>
    <w:rsid w:val="001748BB"/>
    <w:rsid w:val="00176D7C"/>
    <w:rsid w:val="00187DF5"/>
    <w:rsid w:val="00195156"/>
    <w:rsid w:val="001D154C"/>
    <w:rsid w:val="001E0EF2"/>
    <w:rsid w:val="001E5B03"/>
    <w:rsid w:val="00203687"/>
    <w:rsid w:val="00207990"/>
    <w:rsid w:val="0021677A"/>
    <w:rsid w:val="002428F3"/>
    <w:rsid w:val="002446DD"/>
    <w:rsid w:val="00263192"/>
    <w:rsid w:val="0029073A"/>
    <w:rsid w:val="00290763"/>
    <w:rsid w:val="002B550F"/>
    <w:rsid w:val="002B65D3"/>
    <w:rsid w:val="002E7EB8"/>
    <w:rsid w:val="003040A0"/>
    <w:rsid w:val="003204E2"/>
    <w:rsid w:val="00331077"/>
    <w:rsid w:val="00333F47"/>
    <w:rsid w:val="00341786"/>
    <w:rsid w:val="00342276"/>
    <w:rsid w:val="00391BD2"/>
    <w:rsid w:val="00391F96"/>
    <w:rsid w:val="003A77F7"/>
    <w:rsid w:val="003C21EF"/>
    <w:rsid w:val="003E6704"/>
    <w:rsid w:val="003E6C2D"/>
    <w:rsid w:val="003E7ABC"/>
    <w:rsid w:val="003F77DC"/>
    <w:rsid w:val="00407710"/>
    <w:rsid w:val="00417926"/>
    <w:rsid w:val="00442376"/>
    <w:rsid w:val="00457B49"/>
    <w:rsid w:val="00470D94"/>
    <w:rsid w:val="00475B0B"/>
    <w:rsid w:val="004841DF"/>
    <w:rsid w:val="00495C57"/>
    <w:rsid w:val="004B3592"/>
    <w:rsid w:val="004C56AF"/>
    <w:rsid w:val="004D2F10"/>
    <w:rsid w:val="004F0C65"/>
    <w:rsid w:val="004F6FDE"/>
    <w:rsid w:val="00541049"/>
    <w:rsid w:val="00547FAB"/>
    <w:rsid w:val="005542EE"/>
    <w:rsid w:val="005B1335"/>
    <w:rsid w:val="005C0253"/>
    <w:rsid w:val="006119D9"/>
    <w:rsid w:val="00626179"/>
    <w:rsid w:val="00633ECB"/>
    <w:rsid w:val="00634386"/>
    <w:rsid w:val="00636B00"/>
    <w:rsid w:val="006478BB"/>
    <w:rsid w:val="00667AE7"/>
    <w:rsid w:val="00673717"/>
    <w:rsid w:val="0068475C"/>
    <w:rsid w:val="00694E2F"/>
    <w:rsid w:val="006A08AA"/>
    <w:rsid w:val="006D0BAB"/>
    <w:rsid w:val="006D6104"/>
    <w:rsid w:val="00724BFE"/>
    <w:rsid w:val="00744DC0"/>
    <w:rsid w:val="007603DB"/>
    <w:rsid w:val="007632AE"/>
    <w:rsid w:val="00792AE7"/>
    <w:rsid w:val="00793187"/>
    <w:rsid w:val="007B7D39"/>
    <w:rsid w:val="007C6222"/>
    <w:rsid w:val="007D08D3"/>
    <w:rsid w:val="007D6209"/>
    <w:rsid w:val="007F004B"/>
    <w:rsid w:val="007F4149"/>
    <w:rsid w:val="0082679D"/>
    <w:rsid w:val="008323FF"/>
    <w:rsid w:val="0084668B"/>
    <w:rsid w:val="008E009E"/>
    <w:rsid w:val="008F1C87"/>
    <w:rsid w:val="00907B1C"/>
    <w:rsid w:val="0091698E"/>
    <w:rsid w:val="00943448"/>
    <w:rsid w:val="00956474"/>
    <w:rsid w:val="00961A23"/>
    <w:rsid w:val="00962A8C"/>
    <w:rsid w:val="00966EF4"/>
    <w:rsid w:val="00972A8B"/>
    <w:rsid w:val="00983E99"/>
    <w:rsid w:val="00991E9D"/>
    <w:rsid w:val="00993BF0"/>
    <w:rsid w:val="009C45C0"/>
    <w:rsid w:val="009D6F44"/>
    <w:rsid w:val="00A02CCB"/>
    <w:rsid w:val="00A04F1E"/>
    <w:rsid w:val="00A1295A"/>
    <w:rsid w:val="00A13189"/>
    <w:rsid w:val="00A166F1"/>
    <w:rsid w:val="00A2761D"/>
    <w:rsid w:val="00A3009B"/>
    <w:rsid w:val="00A45326"/>
    <w:rsid w:val="00A86D26"/>
    <w:rsid w:val="00A9070A"/>
    <w:rsid w:val="00AB0A49"/>
    <w:rsid w:val="00B014D7"/>
    <w:rsid w:val="00B371B5"/>
    <w:rsid w:val="00B52D2C"/>
    <w:rsid w:val="00B56266"/>
    <w:rsid w:val="00B565DA"/>
    <w:rsid w:val="00B679F7"/>
    <w:rsid w:val="00B87007"/>
    <w:rsid w:val="00B910E9"/>
    <w:rsid w:val="00B93644"/>
    <w:rsid w:val="00BB2622"/>
    <w:rsid w:val="00BC0E03"/>
    <w:rsid w:val="00BE64BD"/>
    <w:rsid w:val="00BF18F3"/>
    <w:rsid w:val="00C03B73"/>
    <w:rsid w:val="00C13225"/>
    <w:rsid w:val="00C2164E"/>
    <w:rsid w:val="00C30CBF"/>
    <w:rsid w:val="00C31230"/>
    <w:rsid w:val="00C31FB7"/>
    <w:rsid w:val="00C34CAF"/>
    <w:rsid w:val="00C3570B"/>
    <w:rsid w:val="00C516FE"/>
    <w:rsid w:val="00C70421"/>
    <w:rsid w:val="00C90E59"/>
    <w:rsid w:val="00CB773E"/>
    <w:rsid w:val="00CD4D7D"/>
    <w:rsid w:val="00CE04C3"/>
    <w:rsid w:val="00D25C70"/>
    <w:rsid w:val="00D30266"/>
    <w:rsid w:val="00D84BB8"/>
    <w:rsid w:val="00D852EB"/>
    <w:rsid w:val="00D90568"/>
    <w:rsid w:val="00D912F1"/>
    <w:rsid w:val="00D95B72"/>
    <w:rsid w:val="00DC563C"/>
    <w:rsid w:val="00E15443"/>
    <w:rsid w:val="00E269AF"/>
    <w:rsid w:val="00E26EE0"/>
    <w:rsid w:val="00E33884"/>
    <w:rsid w:val="00E43531"/>
    <w:rsid w:val="00E4401B"/>
    <w:rsid w:val="00E54172"/>
    <w:rsid w:val="00E62D40"/>
    <w:rsid w:val="00E727D2"/>
    <w:rsid w:val="00E7285A"/>
    <w:rsid w:val="00E7773D"/>
    <w:rsid w:val="00EA5582"/>
    <w:rsid w:val="00EB7695"/>
    <w:rsid w:val="00EE21B2"/>
    <w:rsid w:val="00EE58B0"/>
    <w:rsid w:val="00EF2EB5"/>
    <w:rsid w:val="00F00A75"/>
    <w:rsid w:val="00F02EB5"/>
    <w:rsid w:val="00F2299C"/>
    <w:rsid w:val="00F26CE1"/>
    <w:rsid w:val="00F375A7"/>
    <w:rsid w:val="00F44708"/>
    <w:rsid w:val="00F57365"/>
    <w:rsid w:val="00F64B18"/>
    <w:rsid w:val="00F65FF8"/>
    <w:rsid w:val="00F72C17"/>
    <w:rsid w:val="00F809FA"/>
    <w:rsid w:val="00FB39FA"/>
    <w:rsid w:val="00F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295A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D7D"/>
    <w:rPr>
      <w:color w:val="0000FF" w:themeColor="hyperlink"/>
      <w:u w:val="single"/>
    </w:rPr>
  </w:style>
  <w:style w:type="paragraph" w:customStyle="1" w:styleId="CharCharChar2CharCharCharCharCharCharCharChar">
    <w:name w:val="Char Char Char2 Char Char Char Char Char Char Char Char"/>
    <w:basedOn w:val="Normal"/>
    <w:rsid w:val="00C30CB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C30CB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0CB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C3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30CB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30CB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C30CB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A1295A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ListParagraphChar">
    <w:name w:val="List Paragraph Char"/>
    <w:link w:val="ListParagraph"/>
    <w:rsid w:val="005B13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r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47372-0F5F-4FD6-A4C4-1ABE4B13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mividovic</dc:creator>
  <cp:lastModifiedBy>njevremovic</cp:lastModifiedBy>
  <cp:revision>37</cp:revision>
  <cp:lastPrinted>2016-04-21T12:47:00Z</cp:lastPrinted>
  <dcterms:created xsi:type="dcterms:W3CDTF">2014-05-07T09:45:00Z</dcterms:created>
  <dcterms:modified xsi:type="dcterms:W3CDTF">2016-04-21T12:58:00Z</dcterms:modified>
</cp:coreProperties>
</file>